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23F4" w14:textId="77777777" w:rsidR="002F7F16" w:rsidRDefault="002F7F16" w:rsidP="002F7F16">
      <w:pPr>
        <w:spacing w:line="360" w:lineRule="auto"/>
        <w:jc w:val="center"/>
        <w:rPr>
          <w:b/>
        </w:rPr>
      </w:pPr>
      <w:r>
        <w:rPr>
          <w:b/>
        </w:rPr>
        <w:t>DAFTAR PUSTAKA</w:t>
      </w:r>
    </w:p>
    <w:p w14:paraId="1D5DF99F" w14:textId="77777777" w:rsidR="002F7F16" w:rsidRDefault="002F7F16" w:rsidP="002F7F16">
      <w:pPr>
        <w:spacing w:line="360" w:lineRule="auto"/>
        <w:jc w:val="center"/>
        <w:rPr>
          <w:b/>
        </w:rPr>
      </w:pPr>
    </w:p>
    <w:p w14:paraId="393E0228" w14:textId="77777777" w:rsidR="002F7F16" w:rsidRDefault="002F7F16" w:rsidP="002F7F16">
      <w:pPr>
        <w:spacing w:line="360" w:lineRule="auto"/>
        <w:ind w:left="851" w:hanging="851"/>
        <w:jc w:val="both"/>
      </w:pPr>
    </w:p>
    <w:p w14:paraId="1AE5979E" w14:textId="77777777" w:rsidR="002F7F16" w:rsidRDefault="002F7F16" w:rsidP="002F7F16">
      <w:pPr>
        <w:spacing w:line="360" w:lineRule="auto"/>
      </w:pPr>
      <w:r>
        <w:t>Abdul, Wahid. (2004) Kejahatan Terorisme Perspektif Agama, HAM, danHukum.</w:t>
      </w:r>
      <w:r>
        <w:tab/>
        <w:t>Bandung: PT Refika Aditama</w:t>
      </w:r>
    </w:p>
    <w:p w14:paraId="74F64F21" w14:textId="77777777" w:rsidR="002F7F16" w:rsidRDefault="002F7F16" w:rsidP="002F7F16">
      <w:pPr>
        <w:spacing w:line="360" w:lineRule="auto"/>
        <w:ind w:left="851" w:hanging="851"/>
        <w:jc w:val="both"/>
      </w:pPr>
      <w:r>
        <w:t>Achmad Kemal Riza, “Responsesof Islamic OrganisationstotheEnactmentof Pancasila as Asas Tunggal forMassOrganisations in Indonesia,” Al-Qanun, Vol. 11, No. 2, (2008), 374-394, hlm. 374-37</w:t>
      </w:r>
    </w:p>
    <w:p w14:paraId="284690D0" w14:textId="77777777" w:rsidR="002F7F16" w:rsidRDefault="002F7F16" w:rsidP="002F7F16">
      <w:pPr>
        <w:spacing w:line="360" w:lineRule="auto"/>
        <w:ind w:left="851" w:hanging="851"/>
        <w:jc w:val="both"/>
      </w:pPr>
      <w:r>
        <w:t>Ardianto, Elvinaro. (2007). Komunikasi Massa Suatu Pengantar. Bandung :Simbosa Rekatama Media</w:t>
      </w:r>
    </w:p>
    <w:p w14:paraId="362E3DBA" w14:textId="77777777" w:rsidR="002F7F16" w:rsidRDefault="002F7F16" w:rsidP="002F7F16">
      <w:pPr>
        <w:spacing w:line="360" w:lineRule="auto"/>
        <w:jc w:val="both"/>
      </w:pPr>
      <w:r>
        <w:t>Arikunto, Suharsimi. (2007). Manajemen Penelitian. Jakarta: Rineka Cipta</w:t>
      </w:r>
    </w:p>
    <w:p w14:paraId="2702CAF5" w14:textId="77777777" w:rsidR="002F7F16" w:rsidRDefault="002F7F16" w:rsidP="002F7F1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Azra, Azyumardi, (2002) Jihad dan Terorisme, dalam Tabrani Sabirin, (ed),  </w:t>
      </w:r>
    </w:p>
    <w:p w14:paraId="3130F04C" w14:textId="77777777" w:rsidR="002F7F16" w:rsidRDefault="002F7F16" w:rsidP="002F7F1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Menggugat Terorisme, Jakarta : CV. Karsa Rezeki </w:t>
      </w:r>
    </w:p>
    <w:p w14:paraId="3D7F5E8A" w14:textId="77777777" w:rsidR="002F7F16" w:rsidRDefault="002F7F16" w:rsidP="002F7F16">
      <w:pPr>
        <w:spacing w:line="360" w:lineRule="auto"/>
        <w:ind w:left="851" w:hanging="851"/>
        <w:jc w:val="both"/>
      </w:pPr>
      <w:r>
        <w:t>Baran, Stanley J. (2004). Introductionto Mass Communication: Media LiteracyandCulture. New York: McGraw-Hill</w:t>
      </w:r>
    </w:p>
    <w:p w14:paraId="5A5AA02F" w14:textId="77777777" w:rsidR="002F7F16" w:rsidRDefault="002F7F16" w:rsidP="002F7F16">
      <w:pPr>
        <w:spacing w:line="360" w:lineRule="auto"/>
        <w:ind w:left="851" w:hanging="851"/>
        <w:jc w:val="both"/>
      </w:pPr>
      <w:r>
        <w:t>Baxter, Leslie &amp; Babbie, Earl. (2004). The Basic OfCommunicationResearch. Belmont CA: Wadsworth/ Thomson Learning</w:t>
      </w:r>
      <w:r>
        <w:rPr>
          <w:color w:val="000000"/>
          <w:sz w:val="21"/>
        </w:rPr>
        <w:t>.</w:t>
      </w:r>
    </w:p>
    <w:p w14:paraId="61C012EC" w14:textId="77777777" w:rsidR="002F7F16" w:rsidRDefault="002F7F16" w:rsidP="002F7F16">
      <w:pPr>
        <w:spacing w:line="360" w:lineRule="auto"/>
        <w:ind w:left="851" w:hanging="851"/>
        <w:jc w:val="both"/>
      </w:pPr>
      <w:r>
        <w:t>Bungin, Burhan. (2005). Metode Penelitian Kuantitatif Komunikasi, Ekonomi, dan Kebijikan Publik serta Ilmu-Ilmu Sosial Lainnya (edisi pertama).Prenada Media, Jakarta</w:t>
      </w:r>
    </w:p>
    <w:p w14:paraId="20A2DE7F" w14:textId="77777777" w:rsidR="002F7F16" w:rsidRDefault="002F7F16" w:rsidP="002F7F16">
      <w:pPr>
        <w:spacing w:line="360" w:lineRule="auto"/>
        <w:ind w:left="851" w:hanging="851"/>
        <w:jc w:val="both"/>
      </w:pPr>
      <w:r>
        <w:t xml:space="preserve">Bungin, Burhan. 2008. </w:t>
      </w:r>
      <w:r>
        <w:rPr>
          <w:i/>
        </w:rPr>
        <w:t>Sosiologi Komunikasi</w:t>
      </w:r>
      <w:r>
        <w:t> (Teori, Paradigma dan </w:t>
      </w:r>
      <w:r>
        <w:rPr>
          <w:i/>
        </w:rPr>
        <w:t>Discourse</w:t>
      </w:r>
      <w:r>
        <w:t> Teknologi Komunikasi di Masyarakat). Jakarta: Kencana Prenada Media Group</w:t>
      </w:r>
    </w:p>
    <w:p w14:paraId="233E8428" w14:textId="77777777" w:rsidR="002F7F16" w:rsidRDefault="002F7F16" w:rsidP="002F7F16">
      <w:pPr>
        <w:spacing w:line="360" w:lineRule="auto"/>
        <w:ind w:left="851" w:hanging="851"/>
        <w:jc w:val="both"/>
      </w:pPr>
      <w:r>
        <w:t>Budi Winarno. 2007.</w:t>
      </w:r>
      <w:r>
        <w:rPr>
          <w:i/>
        </w:rPr>
        <w:t>Sistem Politik Indonesia Era Reformasi</w:t>
      </w:r>
      <w:r>
        <w:t>, (Yogyakarta: Media Pressindo</w:t>
      </w:r>
    </w:p>
    <w:p w14:paraId="3060BA17" w14:textId="77777777" w:rsidR="002F7F16" w:rsidRDefault="002F7F16" w:rsidP="002F7F16">
      <w:pPr>
        <w:spacing w:line="360" w:lineRule="auto"/>
        <w:ind w:left="851" w:hanging="851"/>
        <w:jc w:val="both"/>
      </w:pPr>
      <w:r>
        <w:t>Effendy, OnongUchana (2007). Ilmu Komunikasi Teori dan Praktek. Bandung: Remaja Rosda Karya</w:t>
      </w:r>
    </w:p>
    <w:p w14:paraId="09CFC9BE" w14:textId="77777777" w:rsidR="002F7F16" w:rsidRDefault="002F7F16" w:rsidP="002F7F16">
      <w:pPr>
        <w:spacing w:line="360" w:lineRule="auto"/>
        <w:ind w:left="851" w:hanging="851"/>
        <w:jc w:val="both"/>
      </w:pPr>
      <w:r>
        <w:t>Eriyanto. (2011). Analisis Isi: Pengantar Metodologi untuk Penelitian Ilmu Komunikasi dan Ilmu-ilmu Sosial Lainnya. Jakarta: KENCANA</w:t>
      </w:r>
    </w:p>
    <w:p w14:paraId="037B3925" w14:textId="77777777" w:rsidR="002F7F16" w:rsidRDefault="002F7F16" w:rsidP="002F7F16">
      <w:pPr>
        <w:spacing w:line="360" w:lineRule="auto"/>
        <w:ind w:left="851" w:hanging="851"/>
        <w:jc w:val="both"/>
      </w:pPr>
      <w:r>
        <w:t xml:space="preserve">Grant Wardlaw, (1986) Political Terrorism, New York: Cambridge University Press </w:t>
      </w:r>
    </w:p>
    <w:p w14:paraId="294BFFFB" w14:textId="77777777" w:rsidR="002F7F16" w:rsidRDefault="002F7F16" w:rsidP="002F7F16">
      <w:pPr>
        <w:spacing w:line="360" w:lineRule="auto"/>
        <w:ind w:left="851" w:hanging="851"/>
        <w:jc w:val="both"/>
      </w:pPr>
      <w:r>
        <w:t>Haris, Sumadiria. (2005). Jurnalistik Indonesia: Menulis Berita dan Feature. Bandung: Simbiosa Rekatama Media</w:t>
      </w:r>
    </w:p>
    <w:p w14:paraId="63A81B38" w14:textId="77777777" w:rsidR="002F7F16" w:rsidRDefault="002F7F16" w:rsidP="002F7F16">
      <w:pPr>
        <w:spacing w:line="360" w:lineRule="auto"/>
        <w:ind w:left="851" w:hanging="851"/>
        <w:jc w:val="both"/>
      </w:pPr>
      <w:r>
        <w:t>H.M, Zaenuddin. (2007). The Journalist : Buku Basic Wartawan Vaccan Wajib Para Wartawan, Editor dan Mahasiswa Jurnalistik. Jakarta: Prestasi Pusta karya</w:t>
      </w:r>
    </w:p>
    <w:p w14:paraId="432927C8" w14:textId="77777777" w:rsidR="002F7F16" w:rsidRDefault="002F7F16" w:rsidP="002F7F16">
      <w:pPr>
        <w:spacing w:line="360" w:lineRule="auto"/>
        <w:ind w:left="851" w:hanging="851"/>
        <w:jc w:val="both"/>
      </w:pPr>
      <w:r>
        <w:t>Hamad, Ibnu. (2004). Konstruksi Realitas Politik dan Media Massa. Jakarta</w:t>
      </w:r>
    </w:p>
    <w:p w14:paraId="1CE807D6" w14:textId="77777777" w:rsidR="002F7F16" w:rsidRDefault="002F7F16" w:rsidP="002F7F16">
      <w:pPr>
        <w:spacing w:line="360" w:lineRule="auto"/>
        <w:ind w:left="851" w:hanging="851"/>
        <w:jc w:val="both"/>
      </w:pPr>
      <w:r>
        <w:t>James M. Lutz dan Brenda J. Lutz, (2004)  Global Terrorism, London: Routledge</w:t>
      </w:r>
    </w:p>
    <w:p w14:paraId="0C8170F7" w14:textId="77777777" w:rsidR="002F7F16" w:rsidRDefault="002F7F16" w:rsidP="002F7F16">
      <w:pPr>
        <w:spacing w:line="360" w:lineRule="auto"/>
        <w:ind w:left="851" w:hanging="851"/>
        <w:jc w:val="both"/>
      </w:pPr>
      <w:r>
        <w:lastRenderedPageBreak/>
        <w:t>ICG, (2002) “Al-Qaeda in Southeast Asia: The CaseoftheNgruki Network in Indonesia,” Indonesia Briefing, (Jakarta/Brussels: International Crisis Group</w:t>
      </w:r>
    </w:p>
    <w:p w14:paraId="5CD76D80" w14:textId="77777777" w:rsidR="002F7F16" w:rsidRDefault="002F7F16" w:rsidP="002F7F16">
      <w:pPr>
        <w:spacing w:line="360" w:lineRule="auto"/>
        <w:ind w:left="851" w:hanging="851"/>
        <w:jc w:val="both"/>
      </w:pPr>
      <w:r>
        <w:t>Kurnia, Septiawan Santana. (2002). Jurnalisme Sastra. Jakarta: Gramedia Pustaka Utama</w:t>
      </w:r>
    </w:p>
    <w:p w14:paraId="4F90A310" w14:textId="77777777" w:rsidR="002F7F16" w:rsidRDefault="002F7F16" w:rsidP="002F7F16">
      <w:pPr>
        <w:spacing w:line="360" w:lineRule="auto"/>
        <w:ind w:left="851" w:hanging="851"/>
        <w:jc w:val="both"/>
      </w:pPr>
      <w:r>
        <w:t>Kriyantono, Rachmat. (2009). Teknik Praktis Riset Komunikasi. Jakarta: Kencana Prenada Media Group</w:t>
      </w:r>
    </w:p>
    <w:p w14:paraId="7ACC754D" w14:textId="77777777" w:rsidR="002F7F16" w:rsidRDefault="002F7F16" w:rsidP="002F7F16">
      <w:pPr>
        <w:autoSpaceDE w:val="0"/>
        <w:autoSpaceDN w:val="0"/>
        <w:adjustRightInd w:val="0"/>
        <w:spacing w:line="360" w:lineRule="auto"/>
        <w:jc w:val="both"/>
        <w:rPr>
          <w:rFonts w:ascii="AppleSystemUIFont" w:eastAsia="Calibri" w:hAnsi="AppleSystemUIFont" w:cs="AppleSystemUIFont"/>
          <w:lang w:val="en-US"/>
        </w:rPr>
      </w:pPr>
      <w:r>
        <w:rPr>
          <w:rFonts w:ascii="AppleSystemUIFont" w:eastAsia="Calibri" w:hAnsi="AppleSystemUIFont" w:cs="AppleSystemUIFont"/>
          <w:lang w:val="en-US"/>
        </w:rPr>
        <w:t xml:space="preserve">Manullang, A.C, (2001) Menguak Tabu Intelijen Teror, Motif dan Rezim, Jakarta: </w:t>
      </w:r>
    </w:p>
    <w:p w14:paraId="10BCF8AC" w14:textId="77777777" w:rsidR="002F7F16" w:rsidRDefault="002F7F16" w:rsidP="002F7F1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ppleSystemUIFont" w:eastAsia="Calibri" w:hAnsi="AppleSystemUIFont" w:cs="AppleSystemUIFont"/>
          <w:lang w:val="en-US"/>
        </w:rPr>
      </w:pPr>
      <w:r>
        <w:rPr>
          <w:rFonts w:ascii="AppleSystemUIFont" w:eastAsia="Calibri" w:hAnsi="AppleSystemUIFont" w:cs="AppleSystemUIFont"/>
          <w:lang w:val="en-US"/>
        </w:rPr>
        <w:t>Panta Rhei</w:t>
      </w:r>
    </w:p>
    <w:p w14:paraId="3C9C8EF7" w14:textId="77777777" w:rsidR="002F7F16" w:rsidRDefault="002F7F16" w:rsidP="002F7F16">
      <w:pPr>
        <w:spacing w:line="360" w:lineRule="auto"/>
        <w:ind w:left="851" w:hanging="851"/>
        <w:jc w:val="both"/>
      </w:pPr>
      <w:r>
        <w:t xml:space="preserve">Margianto, J. H dan Asep, S. (2012). </w:t>
      </w:r>
      <w:r>
        <w:rPr>
          <w:rStyle w:val="Emphasis"/>
        </w:rPr>
        <w:t>Media Online: Pembaca, Laba, dan Etika Problematika Praktik Jurnalisme Online Indonesia</w:t>
      </w:r>
      <w:r>
        <w:t>. Jakarta: Aliansi Jurnlaisme Independent (AJI)</w:t>
      </w:r>
    </w:p>
    <w:p w14:paraId="5D256136" w14:textId="77777777" w:rsidR="002F7F16" w:rsidRDefault="002F7F16" w:rsidP="002F7F16">
      <w:pPr>
        <w:spacing w:line="360" w:lineRule="auto"/>
        <w:ind w:left="851" w:hanging="851"/>
        <w:jc w:val="both"/>
      </w:pPr>
      <w:r>
        <w:t>McLuhan, Marsall. (1999). Understanding Media: The Extensionof Man. London: MIT Press</w:t>
      </w:r>
    </w:p>
    <w:p w14:paraId="7E0F3964" w14:textId="77777777" w:rsidR="002F7F16" w:rsidRDefault="002F7F16" w:rsidP="002F7F16">
      <w:pPr>
        <w:spacing w:line="360" w:lineRule="auto"/>
        <w:ind w:left="851" w:hanging="851"/>
        <w:jc w:val="both"/>
      </w:pPr>
      <w:r>
        <w:t>McQuail, Denis. (1992). Teori Komunikasi Massa Suatu Pengantar (edisi ke-2). Jakarta: Erlangga</w:t>
      </w:r>
    </w:p>
    <w:p w14:paraId="2919BD4C" w14:textId="77777777" w:rsidR="002F7F16" w:rsidRDefault="002F7F16" w:rsidP="002F7F16">
      <w:pPr>
        <w:spacing w:line="360" w:lineRule="auto"/>
        <w:ind w:left="851" w:hanging="851"/>
        <w:jc w:val="both"/>
      </w:pPr>
      <w:r>
        <w:t>McQuail, Denis. (2004). McQuail’sReaders in MassCommunicationTheory. London:SagePublication</w:t>
      </w:r>
    </w:p>
    <w:p w14:paraId="5B7FCBC6" w14:textId="77777777" w:rsidR="002F7F16" w:rsidRDefault="002F7F16" w:rsidP="002F7F16">
      <w:pPr>
        <w:spacing w:line="360" w:lineRule="auto"/>
        <w:ind w:left="851" w:hanging="851"/>
        <w:jc w:val="both"/>
      </w:pPr>
      <w:r>
        <w:t>Morrisan, Andy Cory Wardhani dan Farid Hamid. (2010). Teori Komunikasi Massa. Bogor: Ghalia Indonesia</w:t>
      </w:r>
    </w:p>
    <w:p w14:paraId="50B9497D" w14:textId="77777777" w:rsidR="002F7F16" w:rsidRDefault="002F7F16" w:rsidP="002F7F16">
      <w:pPr>
        <w:spacing w:line="360" w:lineRule="auto"/>
        <w:ind w:left="851" w:hanging="851"/>
        <w:jc w:val="both"/>
      </w:pPr>
      <w:r>
        <w:t>Mulyana, Deddy. (2007). Ilmu Komunikasi: Suatu Pengantar. Bandung: RemajaRosdakarya</w:t>
      </w:r>
    </w:p>
    <w:p w14:paraId="6F452317" w14:textId="77777777" w:rsidR="002F7F16" w:rsidRDefault="002F7F16" w:rsidP="002F7F16">
      <w:pPr>
        <w:spacing w:line="360" w:lineRule="auto"/>
        <w:ind w:left="851" w:hanging="851"/>
        <w:jc w:val="both"/>
      </w:pPr>
      <w:r>
        <w:t>Pusat Pembinaan Bahasa Departemen Pendidikan dan Kebudayaan RI.1994. </w:t>
      </w:r>
      <w:r>
        <w:rPr>
          <w:i/>
        </w:rPr>
        <w:t>Kamus Besar Bahasa Indonesia. </w:t>
      </w:r>
      <w:r>
        <w:t>Jakarta: Balai Pustaka</w:t>
      </w:r>
    </w:p>
    <w:p w14:paraId="4A600BA9" w14:textId="77777777" w:rsidR="002F7F16" w:rsidRDefault="002F7F16" w:rsidP="002F7F16">
      <w:pPr>
        <w:spacing w:line="360" w:lineRule="auto"/>
        <w:ind w:left="851" w:hanging="851"/>
        <w:jc w:val="both"/>
      </w:pPr>
      <w:r>
        <w:t>Salenda, Kasjim, (2009) Terorisme Dan Jihad Dalam Perspektif Hukum Islam, Jakarta: Badan Litbang Dan Diklat Departemen Agama RI</w:t>
      </w:r>
    </w:p>
    <w:p w14:paraId="61AC3838" w14:textId="77777777" w:rsidR="002F7F16" w:rsidRDefault="002F7F16" w:rsidP="002F7F16">
      <w:pPr>
        <w:spacing w:line="360" w:lineRule="auto"/>
        <w:ind w:left="851" w:hanging="851"/>
        <w:jc w:val="both"/>
      </w:pPr>
      <w:r>
        <w:t>Tim Penyusun, (2008), Kamus Besar Bahasa Indonesia Pusat Bahasa, Jakarta: PT. Gramedia Pustaka Utama</w:t>
      </w:r>
    </w:p>
    <w:p w14:paraId="26F5B6C7" w14:textId="77777777" w:rsidR="002F7F16" w:rsidRDefault="002F7F16" w:rsidP="002F7F16">
      <w:pPr>
        <w:spacing w:line="360" w:lineRule="auto"/>
        <w:ind w:left="851" w:hanging="851"/>
        <w:jc w:val="both"/>
      </w:pPr>
      <w:r>
        <w:t>Sugiyono. (2011). Metode Penelitian Kuantitatif, Kualitatif dan R&amp;D. Bandung: Alfabeta</w:t>
      </w:r>
    </w:p>
    <w:p w14:paraId="3B71C27D" w14:textId="77777777" w:rsidR="002F7F16" w:rsidRDefault="002F7F16" w:rsidP="002F7F16">
      <w:pPr>
        <w:spacing w:line="360" w:lineRule="auto"/>
        <w:ind w:left="851" w:hanging="851"/>
        <w:jc w:val="both"/>
      </w:pPr>
      <w:r>
        <w:t xml:space="preserve">Taufik Rahzen, dkk.(2007). Seabad Pers Kebangsaan (1907-2007). Yogyakarta: I. Boekoe) </w:t>
      </w:r>
    </w:p>
    <w:p w14:paraId="163F1938" w14:textId="77777777" w:rsidR="002F7F16" w:rsidRDefault="002F7F16" w:rsidP="002F7F16">
      <w:pPr>
        <w:spacing w:line="360" w:lineRule="auto"/>
        <w:ind w:left="851" w:hanging="851"/>
        <w:jc w:val="both"/>
      </w:pPr>
      <w:r>
        <w:t>Vivian, John. (2008). Teori Komunikasi Massa (Edisi Kedelapan). Jakarta: Kencana</w:t>
      </w:r>
    </w:p>
    <w:p w14:paraId="0DB72ABA" w14:textId="77777777" w:rsidR="002F7F16" w:rsidRDefault="002F7F16" w:rsidP="002F7F16">
      <w:pPr>
        <w:spacing w:line="360" w:lineRule="auto"/>
        <w:ind w:left="851" w:hanging="851"/>
        <w:jc w:val="both"/>
      </w:pPr>
      <w:r>
        <w:t xml:space="preserve">Wahid, Abdul, Kejahatan Terorisme Perspektif Agama, HAM dan Hukum, Bandung: Retika Aditama, 2004 </w:t>
      </w:r>
    </w:p>
    <w:p w14:paraId="46EEC995" w14:textId="77777777" w:rsidR="002F7F16" w:rsidRDefault="002F7F16" w:rsidP="002F7F16">
      <w:pPr>
        <w:spacing w:line="360" w:lineRule="auto"/>
        <w:ind w:left="851" w:hanging="851"/>
        <w:jc w:val="both"/>
      </w:pPr>
      <w:r>
        <w:t>Wimmer, R.D &amp;Dominick, J.R. (2011), Mass Media Research: An Introduction, Ninth Edition. Boston: WadsworthCengageLearning</w:t>
      </w:r>
    </w:p>
    <w:p w14:paraId="51B832D1" w14:textId="77777777" w:rsidR="002F7F16" w:rsidRDefault="002F7F16" w:rsidP="002F7F16">
      <w:pPr>
        <w:spacing w:line="360" w:lineRule="auto"/>
        <w:ind w:left="851" w:hanging="851"/>
        <w:jc w:val="both"/>
        <w:rPr>
          <w:b/>
        </w:rPr>
      </w:pPr>
    </w:p>
    <w:p w14:paraId="22826607" w14:textId="77777777" w:rsidR="002F7F16" w:rsidRDefault="002F7F16" w:rsidP="002F7F16">
      <w:pPr>
        <w:spacing w:line="360" w:lineRule="auto"/>
        <w:ind w:left="851" w:hanging="851"/>
        <w:jc w:val="both"/>
        <w:rPr>
          <w:b/>
        </w:rPr>
      </w:pPr>
      <w:r>
        <w:rPr>
          <w:b/>
        </w:rPr>
        <w:t>Internet:</w:t>
      </w:r>
    </w:p>
    <w:bookmarkStart w:id="0" w:name="_Hlt47991535"/>
    <w:bookmarkStart w:id="1" w:name="_Hlt47991553"/>
    <w:p w14:paraId="7F90D5CF" w14:textId="77777777" w:rsidR="002F7F16" w:rsidRDefault="002F7F16" w:rsidP="002F7F16">
      <w:pPr>
        <w:numPr>
          <w:ilvl w:val="0"/>
          <w:numId w:val="1"/>
        </w:numPr>
        <w:spacing w:line="360" w:lineRule="auto"/>
      </w:pPr>
      <w:r>
        <w:lastRenderedPageBreak/>
        <w:fldChar w:fldCharType="begin"/>
      </w:r>
      <w:r>
        <w:instrText xml:space="preserve"> HYPERLINK "</w:instrText>
      </w:r>
      <w:r w:rsidRPr="00E379CA">
        <w:instrText>https://news.detik.com/berita/d-4797857/dulu-kaum-radikal-melawan-penjajah belanda-dan-jepang?single=1</w:instrText>
      </w:r>
      <w:r>
        <w:instrText xml:space="preserve">" </w:instrText>
      </w:r>
      <w:r>
        <w:fldChar w:fldCharType="separate"/>
      </w:r>
      <w:r w:rsidRPr="00FA1646">
        <w:rPr>
          <w:rStyle w:val="Hyperlink"/>
        </w:rPr>
        <w:t>https://news.detik.com/berita/d-4797857/dulu-kaum-radikal-melawan-penjajah</w:t>
      </w:r>
      <w:bookmarkStart w:id="2" w:name="_Hlt47991527"/>
      <w:bookmarkStart w:id="3" w:name="_Hlt47991528"/>
      <w:bookmarkEnd w:id="2"/>
      <w:bookmarkEnd w:id="3"/>
      <w:r w:rsidRPr="00FA1646">
        <w:rPr>
          <w:rStyle w:val="Hyperlink"/>
        </w:rPr>
        <w:t xml:space="preserve"> belanda-dan-jepang?single=1</w:t>
      </w:r>
      <w:bookmarkEnd w:id="0"/>
      <w:bookmarkEnd w:id="1"/>
      <w:r>
        <w:fldChar w:fldCharType="end"/>
      </w:r>
      <w:bookmarkStart w:id="4" w:name="_Hlt47991542"/>
    </w:p>
    <w:p w14:paraId="72675A09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5" w:history="1">
        <w:r w:rsidRPr="00FA1646">
          <w:rPr>
            <w:rStyle w:val="Hyperlink"/>
          </w:rPr>
          <w:t>https://jakarta.go.id/artikel/konten/2670/bataviasche-nouvelles</w:t>
        </w:r>
      </w:hyperlink>
      <w:bookmarkEnd w:id="4"/>
      <w:r>
        <w:t>, diakses 15 April 2020)</w:t>
      </w:r>
    </w:p>
    <w:p w14:paraId="01F60495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6" w:history="1">
        <w:r w:rsidRPr="00FA1646">
          <w:rPr>
            <w:rStyle w:val="Hyperlink"/>
            <w:shd w:val="clear" w:color="auto" w:fill="FFFFFF"/>
          </w:rPr>
          <w:t>http://bc-workshop2004.tripod.com/id3.html</w:t>
        </w:r>
      </w:hyperlink>
      <w:r w:rsidRPr="00E379CA">
        <w:rPr>
          <w:lang w:val="en-US"/>
        </w:rPr>
        <w:t>, diakses 20 Mei 2020</w:t>
      </w:r>
    </w:p>
    <w:p w14:paraId="561A7E9A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7" w:history="1">
        <w:r w:rsidRPr="00FA1646">
          <w:rPr>
            <w:rStyle w:val="Hyperlink"/>
          </w:rPr>
          <w:t>http://journal.uinsgd.ac.id/index.php/cjik</w:t>
        </w:r>
      </w:hyperlink>
      <w:r>
        <w:t>,   di akses mei 2020</w:t>
      </w:r>
    </w:p>
    <w:p w14:paraId="5177B5CF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8" w:history="1">
        <w:r w:rsidRPr="00FA1646">
          <w:rPr>
            <w:rStyle w:val="Hyperlink"/>
          </w:rPr>
          <w:t>https://republika.co.id/berita/qc2k52320/potret-ketidakadilan-media-barat-soal-islam-dan-terorisme</w:t>
        </w:r>
      </w:hyperlink>
      <w:r>
        <w:t>, di akses juni 2020</w:t>
      </w:r>
    </w:p>
    <w:p w14:paraId="7886AB33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9" w:history="1">
        <w:r w:rsidRPr="00FA1646">
          <w:rPr>
            <w:rStyle w:val="Hyperlink"/>
          </w:rPr>
          <w:t>http://jurnalsrigunting.wordpress.com/2011/12/13/metode-dan-tujuan-terorisme</w:t>
        </w:r>
      </w:hyperlink>
      <w:r>
        <w:t>, diakses 20 Juli 2020</w:t>
      </w:r>
    </w:p>
    <w:p w14:paraId="6162BE09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10" w:history="1">
        <w:r w:rsidRPr="00FA1646">
          <w:rPr>
            <w:rStyle w:val="Hyperlink"/>
          </w:rPr>
          <w:t>www.kompas.com</w:t>
        </w:r>
      </w:hyperlink>
    </w:p>
    <w:p w14:paraId="24213883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11" w:history="1">
        <w:r w:rsidRPr="00FA1646">
          <w:rPr>
            <w:rStyle w:val="Hyperlink"/>
          </w:rPr>
          <w:t>www.liputan6.com</w:t>
        </w:r>
      </w:hyperlink>
      <w:r>
        <w:tab/>
      </w:r>
    </w:p>
    <w:p w14:paraId="2981B9E1" w14:textId="77777777" w:rsidR="002F7F16" w:rsidRDefault="002F7F16" w:rsidP="002F7F16">
      <w:pPr>
        <w:numPr>
          <w:ilvl w:val="0"/>
          <w:numId w:val="1"/>
        </w:numPr>
        <w:spacing w:line="360" w:lineRule="auto"/>
      </w:pPr>
      <w:hyperlink r:id="rId12" w:history="1">
        <w:r w:rsidRPr="00FA1646">
          <w:rPr>
            <w:rStyle w:val="Hyperlink"/>
          </w:rPr>
          <w:t>www.suara.com</w:t>
        </w:r>
      </w:hyperlink>
    </w:p>
    <w:p w14:paraId="70C4C0BB" w14:textId="77777777" w:rsidR="002F7F16" w:rsidRDefault="002F7F16" w:rsidP="002F7F16">
      <w:pPr>
        <w:spacing w:line="360" w:lineRule="auto"/>
        <w:rPr>
          <w:b/>
          <w:bCs/>
        </w:rPr>
      </w:pPr>
    </w:p>
    <w:p w14:paraId="4722B786" w14:textId="77777777" w:rsidR="002F7F16" w:rsidRDefault="002F7F16" w:rsidP="002F7F16">
      <w:pPr>
        <w:spacing w:line="360" w:lineRule="auto"/>
        <w:rPr>
          <w:b/>
          <w:bCs/>
        </w:rPr>
      </w:pPr>
      <w:r>
        <w:rPr>
          <w:b/>
          <w:bCs/>
        </w:rPr>
        <w:t xml:space="preserve">Lembaga-Lembaga </w:t>
      </w:r>
    </w:p>
    <w:p w14:paraId="19E7779C" w14:textId="77777777" w:rsidR="002F7F16" w:rsidRDefault="002F7F16" w:rsidP="002F7F16">
      <w:pPr>
        <w:spacing w:line="360" w:lineRule="auto"/>
      </w:pPr>
      <w:r>
        <w:t xml:space="preserve">Undang-Undang RI nomor 15 Tahun 2003 Tentang Pemberantasan Tindak Pidana </w:t>
      </w:r>
    </w:p>
    <w:p w14:paraId="5FE44CAC" w14:textId="77777777" w:rsidR="002F7F16" w:rsidRDefault="002F7F16" w:rsidP="002F7F16">
      <w:pPr>
        <w:spacing w:line="360" w:lineRule="auto"/>
        <w:ind w:firstLine="720"/>
      </w:pPr>
      <w:r>
        <w:t>Terorisme</w:t>
      </w:r>
    </w:p>
    <w:p w14:paraId="545E5ABE" w14:textId="77777777" w:rsidR="002F7F16" w:rsidRDefault="002F7F16" w:rsidP="002F7F16">
      <w:pPr>
        <w:spacing w:line="360" w:lineRule="auto"/>
      </w:pPr>
      <w:r>
        <w:t xml:space="preserve">Undang-Undang RI Nomor 15 Tahun 2003 Tentang Tindak Pidana Pemberantasan </w:t>
      </w:r>
    </w:p>
    <w:p w14:paraId="42CC1951" w14:textId="77777777" w:rsidR="002F7F16" w:rsidRDefault="002F7F16" w:rsidP="002F7F16">
      <w:pPr>
        <w:spacing w:line="360" w:lineRule="auto"/>
        <w:ind w:firstLine="720"/>
      </w:pPr>
      <w:r>
        <w:t xml:space="preserve">Tindak Pidana Terorisme </w:t>
      </w:r>
    </w:p>
    <w:p w14:paraId="2AF420A7" w14:textId="77777777" w:rsidR="002F7F16" w:rsidRDefault="002F7F16" w:rsidP="002F7F16">
      <w:pPr>
        <w:spacing w:line="360" w:lineRule="auto"/>
      </w:pPr>
      <w:r>
        <w:t xml:space="preserve">Peraturan Presiden Republik Indonesia Nomor 46 Tahun 2010 tentang Badan </w:t>
      </w:r>
    </w:p>
    <w:p w14:paraId="7295738B" w14:textId="77777777" w:rsidR="002F7F16" w:rsidRDefault="002F7F16" w:rsidP="002F7F16">
      <w:pPr>
        <w:spacing w:line="360" w:lineRule="auto"/>
        <w:ind w:firstLine="720"/>
      </w:pPr>
      <w:r>
        <w:t>Nasional Penananggulangan Terorisme</w:t>
      </w:r>
    </w:p>
    <w:p w14:paraId="6A7E8345" w14:textId="77777777" w:rsidR="002F7F16" w:rsidRDefault="002F7F16" w:rsidP="002F7F16">
      <w:pPr>
        <w:pStyle w:val="NormalWeb"/>
        <w:spacing w:before="0" w:after="0" w:afterAutospacing="0" w:line="360" w:lineRule="auto"/>
        <w:jc w:val="both"/>
        <w:rPr>
          <w:rFonts w:ascii="Arial"/>
          <w:sz w:val="17"/>
        </w:rPr>
      </w:pPr>
    </w:p>
    <w:p w14:paraId="127EDDF0" w14:textId="77777777" w:rsidR="002F7F16" w:rsidRDefault="002F7F16" w:rsidP="002F7F16">
      <w:pPr>
        <w:pStyle w:val="NormalWeb"/>
        <w:spacing w:before="0" w:after="0" w:afterAutospacing="0" w:line="360" w:lineRule="auto"/>
        <w:jc w:val="both"/>
        <w:rPr>
          <w:rFonts w:ascii="Arial"/>
          <w:sz w:val="17"/>
        </w:rPr>
      </w:pPr>
    </w:p>
    <w:p w14:paraId="2814FAEF" w14:textId="77777777" w:rsidR="002F7F16" w:rsidRDefault="002F7F16" w:rsidP="002F7F16">
      <w:pPr>
        <w:spacing w:line="360" w:lineRule="auto"/>
        <w:jc w:val="both"/>
        <w:rPr>
          <w:i/>
          <w:iCs/>
          <w:color w:val="FF0000"/>
        </w:rPr>
      </w:pPr>
    </w:p>
    <w:p w14:paraId="47EB65E3" w14:textId="77777777" w:rsidR="002F7F16" w:rsidRDefault="002F7F16" w:rsidP="002F7F16">
      <w:pPr>
        <w:spacing w:line="360" w:lineRule="auto"/>
        <w:jc w:val="both"/>
        <w:rPr>
          <w:b/>
          <w:bCs/>
        </w:rPr>
      </w:pPr>
    </w:p>
    <w:p w14:paraId="2CB07EBF" w14:textId="77777777" w:rsidR="002F7F16" w:rsidRDefault="002F7F16" w:rsidP="002F7F16">
      <w:pPr>
        <w:pStyle w:val="NormalWeb"/>
        <w:spacing w:before="0" w:after="0" w:afterAutospacing="0" w:line="360" w:lineRule="auto"/>
        <w:jc w:val="both"/>
        <w:rPr>
          <w:rFonts w:ascii="Arial"/>
          <w:sz w:val="17"/>
        </w:rPr>
      </w:pPr>
    </w:p>
    <w:p w14:paraId="09FB3198" w14:textId="77777777" w:rsidR="002F7F16" w:rsidRDefault="002F7F16" w:rsidP="002F7F16">
      <w:pPr>
        <w:spacing w:line="360" w:lineRule="auto"/>
        <w:ind w:left="851" w:hanging="851"/>
        <w:jc w:val="both"/>
      </w:pPr>
    </w:p>
    <w:p w14:paraId="04AA3D49" w14:textId="77777777" w:rsidR="002F7F16" w:rsidRDefault="002F7F16" w:rsidP="002F7F16">
      <w:pPr>
        <w:spacing w:line="360" w:lineRule="auto"/>
        <w:ind w:left="851" w:hanging="851"/>
        <w:jc w:val="both"/>
      </w:pPr>
    </w:p>
    <w:p w14:paraId="11FDBB51" w14:textId="77777777" w:rsidR="002F7F16" w:rsidRDefault="002F7F16" w:rsidP="002F7F16">
      <w:pPr>
        <w:spacing w:line="360" w:lineRule="auto"/>
        <w:ind w:left="851" w:hanging="851"/>
        <w:jc w:val="both"/>
      </w:pPr>
    </w:p>
    <w:p w14:paraId="4E07C2D4" w14:textId="77777777" w:rsidR="002F7F16" w:rsidRDefault="002F7F16" w:rsidP="002F7F16">
      <w:pPr>
        <w:spacing w:line="360" w:lineRule="auto"/>
        <w:ind w:left="851" w:hanging="851"/>
        <w:jc w:val="both"/>
      </w:pPr>
    </w:p>
    <w:p w14:paraId="1ACA25E5" w14:textId="77777777" w:rsidR="002F7F16" w:rsidRDefault="002F7F16" w:rsidP="002F7F16">
      <w:pPr>
        <w:spacing w:line="360" w:lineRule="auto"/>
        <w:ind w:left="851" w:hanging="851"/>
        <w:jc w:val="both"/>
      </w:pPr>
    </w:p>
    <w:p w14:paraId="581C84BA" w14:textId="77777777" w:rsidR="002F7F16" w:rsidRDefault="002F7F16" w:rsidP="002F7F16">
      <w:pPr>
        <w:spacing w:line="360" w:lineRule="auto"/>
        <w:ind w:left="851" w:hanging="851"/>
        <w:jc w:val="both"/>
      </w:pPr>
    </w:p>
    <w:p w14:paraId="591CB8CC" w14:textId="77777777" w:rsidR="002F7F16" w:rsidRDefault="002F7F16" w:rsidP="002F7F16">
      <w:pPr>
        <w:spacing w:line="360" w:lineRule="auto"/>
        <w:ind w:firstLine="720"/>
        <w:rPr>
          <w:lang w:val="en-US"/>
        </w:rPr>
      </w:pPr>
    </w:p>
    <w:p w14:paraId="3DEA5329" w14:textId="77777777" w:rsidR="002F7F16" w:rsidRDefault="002F7F16" w:rsidP="002F7F16">
      <w:pPr>
        <w:spacing w:line="360" w:lineRule="auto"/>
        <w:jc w:val="center"/>
        <w:rPr>
          <w:b/>
          <w:lang w:val="en-US"/>
        </w:rPr>
      </w:pPr>
    </w:p>
    <w:p w14:paraId="618518B2" w14:textId="77777777" w:rsidR="002F7F16" w:rsidRDefault="002F7F16" w:rsidP="002F7F16">
      <w:pPr>
        <w:spacing w:line="360" w:lineRule="auto"/>
        <w:jc w:val="center"/>
        <w:rPr>
          <w:b/>
          <w:lang w:val="en-US"/>
        </w:rPr>
      </w:pPr>
    </w:p>
    <w:p w14:paraId="4A114579" w14:textId="77777777" w:rsidR="002F7F16" w:rsidRDefault="002F7F16" w:rsidP="002F7F16">
      <w:pPr>
        <w:spacing w:line="360" w:lineRule="auto"/>
        <w:jc w:val="center"/>
        <w:rPr>
          <w:b/>
          <w:lang w:val="en-US"/>
        </w:rPr>
      </w:pPr>
    </w:p>
    <w:p w14:paraId="13A30083" w14:textId="77777777" w:rsidR="002F7F16" w:rsidRDefault="002F7F16" w:rsidP="002F7F16">
      <w:pPr>
        <w:spacing w:line="360" w:lineRule="auto"/>
        <w:jc w:val="center"/>
        <w:rPr>
          <w:b/>
          <w:lang w:val="en-US"/>
        </w:rPr>
      </w:pPr>
    </w:p>
    <w:p w14:paraId="6F5754FD" w14:textId="77777777" w:rsidR="002F7F16" w:rsidRDefault="002F7F16" w:rsidP="002F7F16"/>
    <w:p w14:paraId="36087E0C" w14:textId="77777777" w:rsidR="00393DC7" w:rsidRDefault="00393DC7"/>
    <w:sectPr w:rsidR="00393DC7" w:rsidSect="009B18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71F1"/>
    <w:multiLevelType w:val="hybridMultilevel"/>
    <w:tmpl w:val="D1F4F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16"/>
    <w:rsid w:val="002F7F16"/>
    <w:rsid w:val="00393DC7"/>
    <w:rsid w:val="009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B11"/>
  <w15:chartTrackingRefBased/>
  <w15:docId w15:val="{3217BC78-F615-144D-B839-561D116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F16"/>
    <w:pPr>
      <w:spacing w:before="100" w:beforeAutospacing="1" w:after="100" w:afterAutospacing="1"/>
    </w:pPr>
    <w:rPr>
      <w:lang w:eastAsia="id-ID"/>
    </w:rPr>
  </w:style>
  <w:style w:type="character" w:styleId="Emphasis">
    <w:name w:val="Emphasis"/>
    <w:uiPriority w:val="20"/>
    <w:qFormat/>
    <w:rsid w:val="002F7F16"/>
    <w:rPr>
      <w:rFonts w:cs="Times New Roman"/>
      <w:i/>
    </w:rPr>
  </w:style>
  <w:style w:type="character" w:styleId="Hyperlink">
    <w:name w:val="Hyperlink"/>
    <w:uiPriority w:val="99"/>
    <w:unhideWhenUsed/>
    <w:rsid w:val="002F7F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ublika.co.id/berita/qc2k52320/potret-ketidakadilan-media-barat-soal-islam-dan-teroris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uinsgd.ac.id/index.php/cjik" TargetMode="External"/><Relationship Id="rId12" Type="http://schemas.openxmlformats.org/officeDocument/2006/relationships/hyperlink" Target="http://www.su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-workshop2004.tripod.com/id3.html" TargetMode="External"/><Relationship Id="rId11" Type="http://schemas.openxmlformats.org/officeDocument/2006/relationships/hyperlink" Target="http://www.liputan6.com" TargetMode="External"/><Relationship Id="rId5" Type="http://schemas.openxmlformats.org/officeDocument/2006/relationships/hyperlink" Target="https://jakarta.go.id/artikel/konten/2670/bataviasche-nouvelles" TargetMode="External"/><Relationship Id="rId10" Type="http://schemas.openxmlformats.org/officeDocument/2006/relationships/hyperlink" Target="http://www.komp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srigunting.wordpress.com/2011/12/13/metode-dan-tujuan-teroris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2020-11-27T07:25:00Z</dcterms:created>
  <dcterms:modified xsi:type="dcterms:W3CDTF">2020-11-27T07:30:00Z</dcterms:modified>
</cp:coreProperties>
</file>